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证券公司资本补充指引</w:t>
      </w:r>
    </w:p>
    <w:p>
      <w:pPr>
        <w:keepNext w:val="0"/>
        <w:keepLines w:val="0"/>
        <w:pageBreakBefore w:val="0"/>
        <w:widowControl w:val="0"/>
        <w:suppressLineNumbers w:val="0"/>
        <w:shd w:val="clear" w:fill="FFFFFF"/>
        <w:kinsoku/>
        <w:wordWrap w:val="0"/>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仿宋" w:hAnsi="仿宋" w:eastAsia="仿宋" w:cs="仿宋"/>
          <w:b w:val="0"/>
          <w:bCs w:val="0"/>
          <w:i w:val="0"/>
          <w:caps w:val="0"/>
          <w:color w:val="000000"/>
          <w:spacing w:val="0"/>
          <w:sz w:val="24"/>
          <w:szCs w:val="24"/>
        </w:rPr>
      </w:pPr>
      <w:bookmarkStart w:id="0" w:name="_GoBack"/>
      <w:bookmarkEnd w:id="0"/>
      <w:r>
        <w:rPr>
          <w:rStyle w:val="4"/>
          <w:rFonts w:hint="eastAsia" w:ascii="仿宋" w:hAnsi="仿宋" w:eastAsia="仿宋" w:cs="仿宋"/>
          <w:b w:val="0"/>
          <w:bCs w:val="0"/>
          <w:i w:val="0"/>
          <w:caps w:val="0"/>
          <w:color w:val="000000"/>
          <w:spacing w:val="0"/>
          <w:kern w:val="0"/>
          <w:sz w:val="24"/>
          <w:szCs w:val="24"/>
          <w:shd w:val="clear" w:fill="FFFFFF"/>
          <w:lang w:val="en-US" w:eastAsia="zh-CN" w:bidi="ar"/>
        </w:rPr>
        <w:t>（2014年9月22日第五届常务理事会第二十六次会议表决通过</w:t>
      </w:r>
      <w:r>
        <w:rPr>
          <w:rFonts w:hint="eastAsia" w:ascii="仿宋" w:hAnsi="仿宋" w:eastAsia="仿宋" w:cs="仿宋"/>
          <w:b w:val="0"/>
          <w:bCs w:val="0"/>
          <w:i w:val="0"/>
          <w:caps w:val="0"/>
          <w:color w:val="000000"/>
          <w:spacing w:val="0"/>
          <w:kern w:val="0"/>
          <w:sz w:val="24"/>
          <w:szCs w:val="24"/>
          <w:shd w:val="clear" w:fill="FFFFFF"/>
          <w:lang w:val="en-US" w:eastAsia="zh-CN" w:bidi="ar"/>
        </w:rPr>
        <w:t> </w:t>
      </w:r>
      <w:r>
        <w:rPr>
          <w:rStyle w:val="4"/>
          <w:rFonts w:hint="eastAsia" w:ascii="仿宋" w:hAnsi="仿宋" w:eastAsia="仿宋" w:cs="仿宋"/>
          <w:b w:val="0"/>
          <w:bCs w:val="0"/>
          <w:i w:val="0"/>
          <w:caps w:val="0"/>
          <w:color w:val="000000"/>
          <w:spacing w:val="0"/>
          <w:kern w:val="0"/>
          <w:sz w:val="24"/>
          <w:szCs w:val="24"/>
          <w:shd w:val="clear" w:fill="FFFFFF"/>
          <w:lang w:val="en-US" w:eastAsia="zh-CN" w:bidi="ar"/>
        </w:rPr>
        <w:t>2014年9月26日发布）</w:t>
      </w:r>
    </w:p>
    <w:p>
      <w:pPr>
        <w:keepNext w:val="0"/>
        <w:keepLines w:val="0"/>
        <w:pageBreakBefore w:val="0"/>
        <w:widowControl w:val="0"/>
        <w:suppressLineNumbers w:val="0"/>
        <w:shd w:val="clear" w:fill="FFFFFF"/>
        <w:kinsoku/>
        <w:wordWrap w:val="0"/>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val="0"/>
        <w:suppressLineNumbers w:val="0"/>
        <w:shd w:val="clear" w:fill="FFFFFF"/>
        <w:kinsoku/>
        <w:wordWrap w:val="0"/>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Style w:val="4"/>
          <w:rFonts w:hint="eastAsia" w:ascii="仿宋" w:hAnsi="仿宋" w:eastAsia="仿宋" w:cs="仿宋"/>
          <w:i w:val="0"/>
          <w:caps w:val="0"/>
          <w:color w:val="000000"/>
          <w:spacing w:val="0"/>
          <w:kern w:val="0"/>
          <w:sz w:val="30"/>
          <w:szCs w:val="30"/>
          <w:shd w:val="clear" w:fill="FFFFFF"/>
          <w:lang w:val="en-US" w:eastAsia="zh-CN" w:bidi="ar"/>
        </w:rPr>
        <w:t>第一条</w:t>
      </w:r>
      <w:r>
        <w:rPr>
          <w:rFonts w:hint="eastAsia" w:ascii="仿宋" w:hAnsi="仿宋" w:eastAsia="仿宋" w:cs="仿宋"/>
          <w:b w:val="0"/>
          <w:i w:val="0"/>
          <w:caps w:val="0"/>
          <w:color w:val="000000"/>
          <w:spacing w:val="0"/>
          <w:kern w:val="0"/>
          <w:sz w:val="30"/>
          <w:szCs w:val="30"/>
          <w:shd w:val="clear" w:fill="FFFFFF"/>
          <w:lang w:val="en-US" w:eastAsia="zh-CN" w:bidi="ar"/>
        </w:rPr>
        <w:t> 为引导证券公司建立健全资本补充机制，拓宽资本补充渠道，提高资本质量，强化资本约束，根据《中华人民共和国证券法》、《证券公司风险控制指标管理办法》，制定本指引。</w:t>
      </w:r>
    </w:p>
    <w:p>
      <w:pPr>
        <w:keepNext w:val="0"/>
        <w:keepLines w:val="0"/>
        <w:pageBreakBefore w:val="0"/>
        <w:widowControl w:val="0"/>
        <w:suppressLineNumbers w:val="0"/>
        <w:shd w:val="clear" w:fill="FFFFFF"/>
        <w:kinsoku/>
        <w:wordWrap w:val="0"/>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Style w:val="4"/>
          <w:rFonts w:hint="eastAsia" w:ascii="仿宋" w:hAnsi="仿宋" w:eastAsia="仿宋" w:cs="仿宋"/>
          <w:i w:val="0"/>
          <w:caps w:val="0"/>
          <w:color w:val="000000"/>
          <w:spacing w:val="0"/>
          <w:kern w:val="0"/>
          <w:sz w:val="30"/>
          <w:szCs w:val="30"/>
          <w:shd w:val="clear" w:fill="FFFFFF"/>
          <w:lang w:val="en-US" w:eastAsia="zh-CN" w:bidi="ar"/>
        </w:rPr>
        <w:t>第二条</w:t>
      </w:r>
      <w:r>
        <w:rPr>
          <w:rFonts w:hint="eastAsia" w:ascii="仿宋" w:hAnsi="仿宋" w:eastAsia="仿宋" w:cs="仿宋"/>
          <w:b w:val="0"/>
          <w:i w:val="0"/>
          <w:caps w:val="0"/>
          <w:color w:val="000000"/>
          <w:spacing w:val="0"/>
          <w:kern w:val="0"/>
          <w:sz w:val="30"/>
          <w:szCs w:val="30"/>
          <w:shd w:val="clear" w:fill="FFFFFF"/>
          <w:lang w:val="en-US" w:eastAsia="zh-CN" w:bidi="ar"/>
        </w:rPr>
        <w:t> 证券公司资本管理应当遵循以下原则：</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（一）资本水平应当与业务发展相匹配；</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（二）资本水平应当与风险偏好、风险管理水平和外部环境相适应，能够充分覆盖主要风险。</w:t>
      </w:r>
    </w:p>
    <w:p>
      <w:pPr>
        <w:keepNext w:val="0"/>
        <w:keepLines w:val="0"/>
        <w:pageBreakBefore w:val="0"/>
        <w:widowControl w:val="0"/>
        <w:suppressLineNumbers w:val="0"/>
        <w:shd w:val="clear" w:fill="FFFFFF"/>
        <w:kinsoku/>
        <w:wordWrap w:val="0"/>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r>
        <w:rPr>
          <w:rStyle w:val="4"/>
          <w:rFonts w:hint="eastAsia" w:ascii="仿宋" w:hAnsi="仿宋" w:eastAsia="仿宋" w:cs="仿宋"/>
          <w:i w:val="0"/>
          <w:caps w:val="0"/>
          <w:color w:val="000000"/>
          <w:spacing w:val="0"/>
          <w:kern w:val="0"/>
          <w:sz w:val="30"/>
          <w:szCs w:val="30"/>
          <w:shd w:val="clear" w:fill="FFFFFF"/>
          <w:lang w:val="en-US" w:eastAsia="zh-CN" w:bidi="ar"/>
        </w:rPr>
        <w:t>第三条</w:t>
      </w:r>
      <w:r>
        <w:rPr>
          <w:rFonts w:hint="eastAsia" w:ascii="仿宋" w:hAnsi="仿宋" w:eastAsia="仿宋" w:cs="仿宋"/>
          <w:b w:val="0"/>
          <w:i w:val="0"/>
          <w:caps w:val="0"/>
          <w:color w:val="000000"/>
          <w:spacing w:val="0"/>
          <w:kern w:val="0"/>
          <w:sz w:val="30"/>
          <w:szCs w:val="30"/>
          <w:shd w:val="clear" w:fill="FFFFFF"/>
          <w:lang w:val="en-US" w:eastAsia="zh-CN" w:bidi="ar"/>
        </w:rPr>
        <w:t> 证券公司应当根据经营战略、风险状况和监管要求，制定科学、可行的资本规划。资本规划应当至少涵盖未来三年，包括但不限于以下内容：</w:t>
      </w:r>
    </w:p>
    <w:p>
      <w:pPr>
        <w:keepNext w:val="0"/>
        <w:keepLines w:val="0"/>
        <w:pageBreakBefore w:val="0"/>
        <w:widowControl w:val="0"/>
        <w:suppressLineNumbers w:val="0"/>
        <w:shd w:val="clear" w:fill="FFFFFF"/>
        <w:kinsoku/>
        <w:wordWrap w:val="0"/>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（一） 公司的资本政策、内部资本充足目标；</w:t>
      </w:r>
    </w:p>
    <w:p>
      <w:pPr>
        <w:keepNext w:val="0"/>
        <w:keepLines w:val="0"/>
        <w:pageBreakBefore w:val="0"/>
        <w:widowControl w:val="0"/>
        <w:suppressLineNumbers w:val="0"/>
        <w:shd w:val="clear" w:fill="FFFFFF"/>
        <w:kinsoku/>
        <w:wordWrap w:val="0"/>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（二） 规划期内预计的资本占用和资本需求；</w:t>
      </w:r>
    </w:p>
    <w:p>
      <w:pPr>
        <w:keepNext w:val="0"/>
        <w:keepLines w:val="0"/>
        <w:pageBreakBefore w:val="0"/>
        <w:widowControl w:val="0"/>
        <w:suppressLineNumbers w:val="0"/>
        <w:shd w:val="clear" w:fill="FFFFFF"/>
        <w:kinsoku/>
        <w:wordWrap w:val="0"/>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（三） 资本补充触发条件；</w:t>
      </w:r>
    </w:p>
    <w:p>
      <w:pPr>
        <w:keepNext w:val="0"/>
        <w:keepLines w:val="0"/>
        <w:pageBreakBefore w:val="0"/>
        <w:widowControl w:val="0"/>
        <w:suppressLineNumbers w:val="0"/>
        <w:shd w:val="clear" w:fill="FFFFFF"/>
        <w:kinsoku/>
        <w:wordWrap w:val="0"/>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（四） 资本补充工具和资本补充渠道的可行性分析；</w:t>
      </w:r>
    </w:p>
    <w:p>
      <w:pPr>
        <w:keepNext w:val="0"/>
        <w:keepLines w:val="0"/>
        <w:pageBreakBefore w:val="0"/>
        <w:widowControl w:val="0"/>
        <w:suppressLineNumbers w:val="0"/>
        <w:shd w:val="clear" w:fill="FFFFFF"/>
        <w:kinsoku/>
        <w:wordWrap w:val="0"/>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（五）对公司资本充足性和资本质量可能产生重大负面影响的因素。</w:t>
      </w:r>
    </w:p>
    <w:p>
      <w:pPr>
        <w:keepNext w:val="0"/>
        <w:keepLines w:val="0"/>
        <w:pageBreakBefore w:val="0"/>
        <w:widowControl w:val="0"/>
        <w:suppressLineNumbers w:val="0"/>
        <w:shd w:val="clear" w:fill="FFFFFF"/>
        <w:kinsoku/>
        <w:wordWrap w:val="0"/>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证券公司董事会应当将建立和完善资本补充机制作为重要职责。证券公司资本规划应当经董事会审议通过后实施，根据公司章程需要提请股东大会（或股东会）批准的，应当经股东大会（或股东会）审议通过后实施。</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Style w:val="4"/>
          <w:rFonts w:hint="eastAsia" w:ascii="仿宋" w:hAnsi="仿宋" w:eastAsia="仿宋" w:cs="仿宋"/>
          <w:i w:val="0"/>
          <w:caps w:val="0"/>
          <w:color w:val="000000"/>
          <w:spacing w:val="0"/>
          <w:sz w:val="30"/>
          <w:szCs w:val="30"/>
          <w:shd w:val="clear" w:fill="FFFFFF"/>
        </w:rPr>
        <w:t>第四条</w:t>
      </w:r>
      <w:r>
        <w:rPr>
          <w:rFonts w:hint="eastAsia" w:ascii="仿宋" w:hAnsi="仿宋" w:eastAsia="仿宋" w:cs="仿宋"/>
          <w:b w:val="0"/>
          <w:i w:val="0"/>
          <w:caps w:val="0"/>
          <w:color w:val="000000"/>
          <w:spacing w:val="0"/>
          <w:sz w:val="30"/>
          <w:szCs w:val="30"/>
          <w:shd w:val="clear" w:fill="FFFFFF"/>
        </w:rPr>
        <w:t> 证券公司应当建立资本补充机制，充分利用境内外金融市场，积极进行增资扩股、引进战略投资者、通过多层次资本市场上市和融资。注重内源性资本积累，建立科学、稳定的分红政策。</w:t>
      </w:r>
    </w:p>
    <w:p>
      <w:pPr>
        <w:keepNext w:val="0"/>
        <w:keepLines w:val="0"/>
        <w:pageBreakBefore w:val="0"/>
        <w:widowControl w:val="0"/>
        <w:suppressLineNumbers w:val="0"/>
        <w:shd w:val="clear" w:fill="FFFFFF"/>
        <w:kinsoku/>
        <w:wordWrap w:val="0"/>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证券公司应当运用现行法规政策框架内的各类工具和渠道，探索优先股、减记债、可转债等创新资本工具，拓宽资本补充渠道，维持充足的资本水平。</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Style w:val="4"/>
          <w:rFonts w:hint="eastAsia" w:ascii="仿宋" w:hAnsi="仿宋" w:eastAsia="仿宋" w:cs="仿宋"/>
          <w:i w:val="0"/>
          <w:caps w:val="0"/>
          <w:color w:val="000000"/>
          <w:spacing w:val="0"/>
          <w:sz w:val="30"/>
          <w:szCs w:val="30"/>
          <w:shd w:val="clear" w:fill="FFFFFF"/>
        </w:rPr>
        <w:t>第五条</w:t>
      </w:r>
      <w:r>
        <w:rPr>
          <w:rFonts w:hint="eastAsia" w:ascii="仿宋" w:hAnsi="仿宋" w:eastAsia="仿宋" w:cs="仿宋"/>
          <w:b w:val="0"/>
          <w:i w:val="0"/>
          <w:caps w:val="0"/>
          <w:color w:val="000000"/>
          <w:spacing w:val="0"/>
          <w:sz w:val="30"/>
          <w:szCs w:val="30"/>
          <w:shd w:val="clear" w:fill="FFFFFF"/>
        </w:rPr>
        <w:t> 证券公司应当建立科学有效的内部资本充足评估程序。应当确保主要风险得到识别、计量、监测和报告。评估资本工具吸收损失和支持业务持续运营的能力，并判断启动资本补充的触发条件、资本补充方案的可行性和应对措施的合理性。</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证券公司应当将内部资本充足评估程序作为内部管理和决策的组成部分，并将内部资本充足评估结果运用于资本预算与分配、业务决策、分红政策和战略规划等。</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Style w:val="4"/>
          <w:rFonts w:hint="eastAsia" w:ascii="仿宋" w:hAnsi="仿宋" w:eastAsia="仿宋" w:cs="仿宋"/>
          <w:i w:val="0"/>
          <w:caps w:val="0"/>
          <w:color w:val="000000"/>
          <w:spacing w:val="0"/>
          <w:sz w:val="30"/>
          <w:szCs w:val="30"/>
          <w:shd w:val="clear" w:fill="FFFFFF"/>
        </w:rPr>
        <w:t>第六条</w:t>
      </w:r>
      <w:r>
        <w:rPr>
          <w:rFonts w:hint="eastAsia" w:ascii="仿宋" w:hAnsi="仿宋" w:eastAsia="仿宋" w:cs="仿宋"/>
          <w:b w:val="0"/>
          <w:i w:val="0"/>
          <w:caps w:val="0"/>
          <w:color w:val="000000"/>
          <w:spacing w:val="0"/>
          <w:sz w:val="30"/>
          <w:szCs w:val="30"/>
          <w:shd w:val="clear" w:fill="FFFFFF"/>
        </w:rPr>
        <w:t> 证券公司应当将压力测试作为内部资本充足评估的重要方法和工具，通过审慎和前瞻性的压力测试，测算和评估不同压力情景下的资本需求和资本可获得性，确保公司具备充足资本应对不利的内外部条件变化。中国证券业协会可以根据外部市场环境变化，设定行业统一资本规划压力情景，组织证券公司进行压力测试。</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Style w:val="4"/>
          <w:rFonts w:hint="eastAsia" w:ascii="仿宋" w:hAnsi="仿宋" w:eastAsia="仿宋" w:cs="仿宋"/>
          <w:i w:val="0"/>
          <w:caps w:val="0"/>
          <w:color w:val="000000"/>
          <w:spacing w:val="0"/>
          <w:sz w:val="30"/>
          <w:szCs w:val="30"/>
          <w:shd w:val="clear" w:fill="FFFFFF"/>
        </w:rPr>
        <w:t>第七条</w:t>
      </w:r>
      <w:r>
        <w:rPr>
          <w:rFonts w:hint="eastAsia" w:ascii="仿宋" w:hAnsi="仿宋" w:eastAsia="仿宋" w:cs="仿宋"/>
          <w:b w:val="0"/>
          <w:i w:val="0"/>
          <w:caps w:val="0"/>
          <w:color w:val="000000"/>
          <w:spacing w:val="0"/>
          <w:sz w:val="30"/>
          <w:szCs w:val="30"/>
          <w:shd w:val="clear" w:fill="FFFFFF"/>
        </w:rPr>
        <w:t> 证券公司应当建立资本补充触发机制，触发条件应包括但不限于以下内容：</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（一）</w:t>
      </w:r>
      <w:r>
        <w:rPr>
          <w:rFonts w:hint="eastAsia" w:ascii="仿宋" w:hAnsi="仿宋" w:eastAsia="仿宋" w:cs="仿宋"/>
          <w:b w:val="0"/>
          <w:i w:val="0"/>
          <w:caps w:val="0"/>
          <w:color w:val="000000"/>
          <w:spacing w:val="0"/>
          <w:sz w:val="30"/>
          <w:szCs w:val="30"/>
          <w:shd w:val="clear" w:fill="FFFFFF"/>
        </w:rPr>
        <w:t>无法满足资本充足标准的监管要求；</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（二）</w:t>
      </w:r>
      <w:r>
        <w:rPr>
          <w:rFonts w:hint="eastAsia" w:ascii="仿宋" w:hAnsi="仿宋" w:eastAsia="仿宋" w:cs="仿宋"/>
          <w:b w:val="0"/>
          <w:i w:val="0"/>
          <w:caps w:val="0"/>
          <w:color w:val="000000"/>
          <w:spacing w:val="0"/>
          <w:sz w:val="30"/>
          <w:szCs w:val="30"/>
          <w:shd w:val="clear" w:fill="FFFFFF"/>
        </w:rPr>
        <w:t>证券公司进行内部资本充足评估程序，压力测试结果显示需要启动资本补充；</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（三）</w:t>
      </w:r>
      <w:r>
        <w:rPr>
          <w:rFonts w:hint="eastAsia" w:ascii="仿宋" w:hAnsi="仿宋" w:eastAsia="仿宋" w:cs="仿宋"/>
          <w:b w:val="0"/>
          <w:i w:val="0"/>
          <w:caps w:val="0"/>
          <w:color w:val="000000"/>
          <w:spacing w:val="0"/>
          <w:sz w:val="30"/>
          <w:szCs w:val="30"/>
          <w:shd w:val="clear" w:fill="FFFFFF"/>
        </w:rPr>
        <w:t>预期或已经出现重大内部风险状况、重大外部风险和政策变化事件，不启动资本补充将使公司面临危机；</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（四）</w:t>
      </w:r>
      <w:r>
        <w:rPr>
          <w:rFonts w:hint="eastAsia" w:ascii="仿宋" w:hAnsi="仿宋" w:eastAsia="仿宋" w:cs="仿宋"/>
          <w:b w:val="0"/>
          <w:i w:val="0"/>
          <w:caps w:val="0"/>
          <w:color w:val="000000"/>
          <w:spacing w:val="0"/>
          <w:sz w:val="30"/>
          <w:szCs w:val="30"/>
          <w:shd w:val="clear" w:fill="FFFFFF"/>
        </w:rPr>
        <w:t>证券公司发生流动性危机，根据流动性风险应急计划需要启动资本补充的；</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（五）</w:t>
      </w:r>
      <w:r>
        <w:rPr>
          <w:rFonts w:hint="eastAsia" w:ascii="仿宋" w:hAnsi="仿宋" w:eastAsia="仿宋" w:cs="仿宋"/>
          <w:b w:val="0"/>
          <w:i w:val="0"/>
          <w:caps w:val="0"/>
          <w:color w:val="000000"/>
          <w:spacing w:val="0"/>
          <w:sz w:val="30"/>
          <w:szCs w:val="30"/>
          <w:shd w:val="clear" w:fill="FFFFFF"/>
        </w:rPr>
        <w:t>证券公司已发行资本工具附有减记或转股条款的，发生减记或转股触发事件。</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Style w:val="4"/>
          <w:rFonts w:hint="eastAsia" w:ascii="仿宋" w:hAnsi="仿宋" w:eastAsia="仿宋" w:cs="仿宋"/>
          <w:i w:val="0"/>
          <w:caps w:val="0"/>
          <w:color w:val="000000"/>
          <w:spacing w:val="0"/>
          <w:sz w:val="30"/>
          <w:szCs w:val="30"/>
          <w:shd w:val="clear" w:fill="FFFFFF"/>
        </w:rPr>
        <w:t>第八条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在达到资本补充触发条件时，证券公司应当根据资本规划启动资本补充计划。资本补充计划应当包括但不限于以下内容：</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（一）</w:t>
      </w:r>
      <w:r>
        <w:rPr>
          <w:rFonts w:hint="eastAsia" w:ascii="仿宋" w:hAnsi="仿宋" w:eastAsia="仿宋" w:cs="仿宋"/>
          <w:b w:val="0"/>
          <w:i w:val="0"/>
          <w:caps w:val="0"/>
          <w:color w:val="000000"/>
          <w:spacing w:val="0"/>
          <w:sz w:val="30"/>
          <w:szCs w:val="30"/>
          <w:shd w:val="clear" w:fill="FFFFFF"/>
        </w:rPr>
        <w:t>限制资本占用程度高的业务发展；</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（二）</w:t>
      </w:r>
      <w:r>
        <w:rPr>
          <w:rFonts w:hint="eastAsia" w:ascii="仿宋" w:hAnsi="仿宋" w:eastAsia="仿宋" w:cs="仿宋"/>
          <w:b w:val="0"/>
          <w:i w:val="0"/>
          <w:caps w:val="0"/>
          <w:color w:val="000000"/>
          <w:spacing w:val="0"/>
          <w:sz w:val="30"/>
          <w:szCs w:val="30"/>
          <w:shd w:val="clear" w:fill="FFFFFF"/>
        </w:rPr>
        <w:t>采用风险缓释措施；</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（三）</w:t>
      </w:r>
      <w:r>
        <w:rPr>
          <w:rFonts w:hint="eastAsia" w:ascii="仿宋" w:hAnsi="仿宋" w:eastAsia="仿宋" w:cs="仿宋"/>
          <w:b w:val="0"/>
          <w:i w:val="0"/>
          <w:caps w:val="0"/>
          <w:color w:val="000000"/>
          <w:spacing w:val="0"/>
          <w:sz w:val="30"/>
          <w:szCs w:val="30"/>
          <w:shd w:val="clear" w:fill="FFFFFF"/>
        </w:rPr>
        <w:t>制定资本工具的类型、发行规模、发行市场、投资者群体、定价机制以及相关政策问题的解决方案等；已发行资本工具附有减记或转股条款的，根据约定或监管规定进行减记或转股；</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（四）</w:t>
      </w:r>
      <w:r>
        <w:rPr>
          <w:rFonts w:hint="eastAsia" w:ascii="仿宋" w:hAnsi="仿宋" w:eastAsia="仿宋" w:cs="仿宋"/>
          <w:b w:val="0"/>
          <w:i w:val="0"/>
          <w:caps w:val="0"/>
          <w:color w:val="000000"/>
          <w:spacing w:val="0"/>
          <w:sz w:val="30"/>
          <w:szCs w:val="30"/>
          <w:shd w:val="clear" w:fill="FFFFFF"/>
        </w:rPr>
        <w:t>调整资本补充期间分红政策，根据需要暂缓、推迟或免除向股东分红。</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Style w:val="4"/>
          <w:rFonts w:hint="eastAsia" w:ascii="仿宋" w:hAnsi="仿宋" w:eastAsia="仿宋" w:cs="仿宋"/>
          <w:i w:val="0"/>
          <w:caps w:val="0"/>
          <w:color w:val="000000"/>
          <w:spacing w:val="0"/>
          <w:sz w:val="30"/>
          <w:szCs w:val="30"/>
          <w:shd w:val="clear" w:fill="FFFFFF"/>
        </w:rPr>
        <w:t>第九条</w:t>
      </w:r>
      <w:r>
        <w:rPr>
          <w:rFonts w:hint="eastAsia" w:ascii="仿宋" w:hAnsi="仿宋" w:eastAsia="仿宋" w:cs="仿宋"/>
          <w:b w:val="0"/>
          <w:i w:val="0"/>
          <w:caps w:val="0"/>
          <w:color w:val="000000"/>
          <w:spacing w:val="0"/>
          <w:sz w:val="30"/>
          <w:szCs w:val="30"/>
          <w:shd w:val="clear" w:fill="FFFFFF"/>
        </w:rPr>
        <w:t> 证券公司应当将资本充足相关信息纳入年度报告中进行公开披露。资本充足信息披露应包括但不限于以下内容：</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（一） </w:t>
      </w:r>
      <w:r>
        <w:rPr>
          <w:rFonts w:hint="eastAsia" w:ascii="仿宋" w:hAnsi="仿宋" w:eastAsia="仿宋" w:cs="仿宋"/>
          <w:b w:val="0"/>
          <w:i w:val="0"/>
          <w:caps w:val="0"/>
          <w:color w:val="000000"/>
          <w:spacing w:val="0"/>
          <w:sz w:val="30"/>
          <w:szCs w:val="30"/>
          <w:shd w:val="clear" w:fill="FFFFFF"/>
        </w:rPr>
        <w:t>满足资本充足标准情况；</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（二） </w:t>
      </w:r>
      <w:r>
        <w:rPr>
          <w:rFonts w:hint="eastAsia" w:ascii="仿宋" w:hAnsi="仿宋" w:eastAsia="仿宋" w:cs="仿宋"/>
          <w:b w:val="0"/>
          <w:i w:val="0"/>
          <w:caps w:val="0"/>
          <w:color w:val="000000"/>
          <w:spacing w:val="0"/>
          <w:sz w:val="30"/>
          <w:szCs w:val="30"/>
          <w:shd w:val="clear" w:fill="FFFFFF"/>
        </w:rPr>
        <w:t>内部资本充足评估程序；</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（三） </w:t>
      </w:r>
      <w:r>
        <w:rPr>
          <w:rFonts w:hint="eastAsia" w:ascii="仿宋" w:hAnsi="仿宋" w:eastAsia="仿宋" w:cs="仿宋"/>
          <w:b w:val="0"/>
          <w:i w:val="0"/>
          <w:caps w:val="0"/>
          <w:color w:val="000000"/>
          <w:spacing w:val="0"/>
          <w:sz w:val="30"/>
          <w:szCs w:val="30"/>
          <w:shd w:val="clear" w:fill="FFFFFF"/>
        </w:rPr>
        <w:t>影响资本充足的内外部主要风险因素；</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（四） </w:t>
      </w:r>
      <w:r>
        <w:rPr>
          <w:rFonts w:hint="eastAsia" w:ascii="仿宋" w:hAnsi="仿宋" w:eastAsia="仿宋" w:cs="仿宋"/>
          <w:b w:val="0"/>
          <w:i w:val="0"/>
          <w:caps w:val="0"/>
          <w:color w:val="000000"/>
          <w:spacing w:val="0"/>
          <w:sz w:val="30"/>
          <w:szCs w:val="30"/>
          <w:shd w:val="clear" w:fill="FFFFFF"/>
        </w:rPr>
        <w:t>实收资本或普通股及其它资本工具的变化情况。</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Style w:val="4"/>
          <w:rFonts w:hint="eastAsia" w:ascii="仿宋" w:hAnsi="仿宋" w:eastAsia="仿宋" w:cs="仿宋"/>
          <w:i w:val="0"/>
          <w:caps w:val="0"/>
          <w:color w:val="000000"/>
          <w:spacing w:val="0"/>
          <w:sz w:val="30"/>
          <w:szCs w:val="30"/>
          <w:shd w:val="clear" w:fill="FFFFFF"/>
        </w:rPr>
        <w:t>第十条</w:t>
      </w:r>
      <w:r>
        <w:rPr>
          <w:rFonts w:hint="eastAsia" w:ascii="仿宋" w:hAnsi="仿宋" w:eastAsia="仿宋" w:cs="仿宋"/>
          <w:b w:val="0"/>
          <w:i w:val="0"/>
          <w:caps w:val="0"/>
          <w:color w:val="000000"/>
          <w:spacing w:val="0"/>
          <w:sz w:val="30"/>
          <w:szCs w:val="30"/>
          <w:shd w:val="clear" w:fill="FFFFFF"/>
        </w:rPr>
        <w:t> 本指引由中国证券业协会负责解释。</w:t>
      </w:r>
    </w:p>
    <w:p>
      <w:pPr>
        <w:keepNext w:val="0"/>
        <w:keepLines w:val="0"/>
        <w:pageBreakBefore w:val="0"/>
        <w:widowControl w:val="0"/>
        <w:kinsoku/>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textAlignment w:val="auto"/>
        <w:outlineLvl w:val="9"/>
        <w:rPr>
          <w:rFonts w:hint="eastAsia" w:ascii="仿宋" w:hAnsi="仿宋" w:eastAsia="仿宋" w:cs="仿宋"/>
          <w:vanish/>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6A38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2018-01-04T05:07:42Z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